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880" w:tblpY="2"/>
        <w:tblW w:w="1543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96"/>
        <w:gridCol w:w="3127"/>
        <w:gridCol w:w="1559"/>
        <w:gridCol w:w="3981"/>
        <w:gridCol w:w="1440"/>
        <w:gridCol w:w="4033"/>
      </w:tblGrid>
      <w:tr w:rsidR="00CE6033" w:rsidRPr="00575148" w:rsidTr="00F12350">
        <w:trPr>
          <w:trHeight w:val="1044"/>
        </w:trPr>
        <w:tc>
          <w:tcPr>
            <w:tcW w:w="154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E6033" w:rsidRPr="00826ED3" w:rsidRDefault="00CE6033" w:rsidP="00F12350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kern w:val="0"/>
                <w:sz w:val="28"/>
                <w:szCs w:val="28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kern w:val="0"/>
                <w:sz w:val="28"/>
                <w:szCs w:val="28"/>
              </w:rPr>
              <w:t xml:space="preserve">2016 IAF </w:t>
            </w:r>
            <w:r w:rsidR="00F12350" w:rsidRPr="00826ED3">
              <w:rPr>
                <w:rFonts w:ascii="微軟正黑體" w:eastAsia="微軟正黑體" w:hAnsi="微軟正黑體" w:cs="新細明體" w:hint="eastAsia"/>
                <w:b/>
                <w:kern w:val="0"/>
                <w:sz w:val="28"/>
                <w:szCs w:val="28"/>
              </w:rPr>
              <w:t xml:space="preserve">國際引導者年會 </w:t>
            </w:r>
            <w:proofErr w:type="gramStart"/>
            <w:r w:rsidR="00F12350" w:rsidRPr="00826ED3">
              <w:rPr>
                <w:rFonts w:ascii="微軟正黑體" w:eastAsia="微軟正黑體" w:hAnsi="微軟正黑體" w:cs="新細明體" w:hint="eastAsia"/>
                <w:b/>
                <w:kern w:val="0"/>
                <w:sz w:val="28"/>
                <w:szCs w:val="28"/>
              </w:rPr>
              <w:t>–</w:t>
            </w:r>
            <w:proofErr w:type="gramEnd"/>
            <w:r w:rsidR="00F12350" w:rsidRPr="00826ED3">
              <w:rPr>
                <w:rFonts w:ascii="微軟正黑體" w:eastAsia="微軟正黑體" w:hAnsi="微軟正黑體" w:cs="新細明體" w:hint="eastAsia"/>
                <w:b/>
                <w:kern w:val="0"/>
                <w:sz w:val="28"/>
                <w:szCs w:val="28"/>
              </w:rPr>
              <w:t xml:space="preserve"> 會前工作坊（在台灣）</w:t>
            </w:r>
          </w:p>
        </w:tc>
      </w:tr>
      <w:tr w:rsidR="00CE6033" w:rsidRPr="00575148" w:rsidTr="00826ED3">
        <w:trPr>
          <w:trHeight w:val="467"/>
        </w:trPr>
        <w:tc>
          <w:tcPr>
            <w:tcW w:w="4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6C22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FFFFFF" w:themeColor="background1"/>
                <w:kern w:val="0"/>
                <w:sz w:val="28"/>
                <w:szCs w:val="28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  <w:sz w:val="28"/>
                <w:szCs w:val="28"/>
              </w:rPr>
              <w:t>August 31</w:t>
            </w:r>
          </w:p>
        </w:tc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6C22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FFFFFF" w:themeColor="background1"/>
                <w:kern w:val="0"/>
                <w:sz w:val="28"/>
                <w:szCs w:val="28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  <w:sz w:val="28"/>
                <w:szCs w:val="28"/>
              </w:rPr>
              <w:t>September 1</w:t>
            </w:r>
          </w:p>
        </w:tc>
        <w:tc>
          <w:tcPr>
            <w:tcW w:w="5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6C22"/>
            <w:noWrap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FFFFFF" w:themeColor="background1"/>
                <w:kern w:val="0"/>
                <w:sz w:val="28"/>
                <w:szCs w:val="28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  <w:sz w:val="28"/>
                <w:szCs w:val="28"/>
              </w:rPr>
              <w:t>September 2</w:t>
            </w:r>
          </w:p>
        </w:tc>
      </w:tr>
      <w:tr w:rsidR="00CE6033" w:rsidRPr="00575148" w:rsidTr="00F12350">
        <w:trPr>
          <w:trHeight w:val="467"/>
        </w:trPr>
        <w:tc>
          <w:tcPr>
            <w:tcW w:w="15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F12350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</w:rPr>
              <w:t xml:space="preserve">08:30 </w:t>
            </w:r>
            <w:proofErr w:type="gramStart"/>
            <w:r w:rsidRPr="00826ED3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</w:rPr>
              <w:t>–</w:t>
            </w:r>
            <w:proofErr w:type="gramEnd"/>
            <w:r w:rsidRPr="00826ED3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</w:rPr>
              <w:t xml:space="preserve"> 09:00 報到</w:t>
            </w:r>
          </w:p>
        </w:tc>
      </w:tr>
      <w:tr w:rsidR="00CE6033" w:rsidRPr="00575148" w:rsidTr="00F12350">
        <w:trPr>
          <w:trHeight w:val="467"/>
        </w:trPr>
        <w:tc>
          <w:tcPr>
            <w:tcW w:w="154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 w:val="28"/>
                <w:szCs w:val="28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</w:rPr>
              <w:t xml:space="preserve">09:00 - 17:00 </w:t>
            </w:r>
            <w:r w:rsidR="00F12350" w:rsidRPr="00826ED3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</w:rPr>
              <w:t>工作坊時間</w:t>
            </w:r>
          </w:p>
        </w:tc>
      </w:tr>
      <w:tr w:rsidR="00CE6033" w:rsidRPr="00575148" w:rsidTr="00826ED3">
        <w:trPr>
          <w:trHeight w:val="888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6C22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FFFFFF" w:themeColor="background1"/>
                <w:kern w:val="0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</w:rPr>
              <w:t>P101</w:t>
            </w:r>
          </w:p>
        </w:tc>
        <w:tc>
          <w:tcPr>
            <w:tcW w:w="8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8A4721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</w:rPr>
              <w:t>策略規劃</w:t>
            </w:r>
            <w:r w:rsidRPr="00826ED3">
              <w:rPr>
                <w:rFonts w:ascii="微軟正黑體" w:eastAsia="微軟正黑體" w:hAnsi="微軟正黑體"/>
                <w:b/>
              </w:rPr>
              <w:t xml:space="preserve"> </w:t>
            </w:r>
            <w:proofErr w:type="gramStart"/>
            <w:r w:rsidRPr="00826ED3">
              <w:rPr>
                <w:rFonts w:ascii="微軟正黑體" w:eastAsia="微軟正黑體" w:hAnsi="微軟正黑體"/>
                <w:b/>
              </w:rPr>
              <w:t>–</w:t>
            </w:r>
            <w:proofErr w:type="gramEnd"/>
            <w:r w:rsidRPr="00826ED3">
              <w:rPr>
                <w:rFonts w:ascii="微軟正黑體" w:eastAsia="微軟正黑體" w:hAnsi="微軟正黑體"/>
                <w:b/>
              </w:rPr>
              <w:t xml:space="preserve"> </w:t>
            </w:r>
            <w:r w:rsidRPr="00826ED3">
              <w:rPr>
                <w:rFonts w:ascii="微軟正黑體" w:eastAsia="微軟正黑體" w:hAnsi="微軟正黑體" w:hint="eastAsia"/>
                <w:b/>
              </w:rPr>
              <w:t>協助客戶規劃策略流程的引導指南</w:t>
            </w:r>
          </w:p>
        </w:tc>
        <w:tc>
          <w:tcPr>
            <w:tcW w:w="5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kern w:val="0"/>
              </w:rPr>
            </w:pPr>
          </w:p>
        </w:tc>
      </w:tr>
      <w:tr w:rsidR="00CE6033" w:rsidRPr="00575148" w:rsidTr="00826ED3">
        <w:trPr>
          <w:trHeight w:val="962"/>
        </w:trPr>
        <w:tc>
          <w:tcPr>
            <w:tcW w:w="4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6C22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Arial"/>
                <w:color w:val="FFFFFF" w:themeColor="background1"/>
                <w:kern w:val="0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</w:rPr>
              <w:t>P102</w:t>
            </w:r>
          </w:p>
        </w:tc>
        <w:tc>
          <w:tcPr>
            <w:tcW w:w="9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F12350" w:rsidP="00F12350">
            <w:pPr>
              <w:overflowPunct w:val="0"/>
              <w:topLinePunct/>
              <w:spacing w:line="300" w:lineRule="exact"/>
              <w:rPr>
                <w:rFonts w:ascii="微軟正黑體" w:eastAsia="微軟正黑體" w:hAnsi="微軟正黑體" w:cs="Arial"/>
                <w:b/>
                <w:bCs/>
                <w:color w:val="000000"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</w:rPr>
              <w:t>介紹ICA社區發展的轉化型情境規劃（分享動態變革流程）</w:t>
            </w:r>
          </w:p>
        </w:tc>
      </w:tr>
      <w:tr w:rsidR="00CE6033" w:rsidRPr="00575148" w:rsidTr="00826ED3">
        <w:trPr>
          <w:trHeight w:val="962"/>
        </w:trPr>
        <w:tc>
          <w:tcPr>
            <w:tcW w:w="4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both"/>
              <w:rPr>
                <w:rFonts w:ascii="微軟正黑體" w:eastAsia="微軟正黑體" w:hAnsi="微軟正黑體" w:cs="新細明體"/>
                <w:b/>
                <w:color w:val="000000"/>
                <w:kern w:val="0"/>
              </w:rPr>
            </w:pPr>
          </w:p>
        </w:tc>
        <w:tc>
          <w:tcPr>
            <w:tcW w:w="1559" w:type="dxa"/>
            <w:tcBorders>
              <w:top w:val="single" w:sz="6" w:space="0" w:color="333333"/>
              <w:left w:val="single" w:sz="4" w:space="0" w:color="auto"/>
              <w:bottom w:val="single" w:sz="6" w:space="0" w:color="333333"/>
              <w:right w:val="single" w:sz="6" w:space="0" w:color="333333"/>
            </w:tcBorders>
            <w:shd w:val="clear" w:color="auto" w:fill="F46C22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FFFFFF" w:themeColor="background1"/>
                <w:kern w:val="0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</w:rPr>
              <w:t>P201</w:t>
            </w:r>
          </w:p>
        </w:tc>
        <w:tc>
          <w:tcPr>
            <w:tcW w:w="39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Pr="00826ED3" w:rsidRDefault="00F12350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</w:rPr>
              <w:t>「房間裡的大象」</w:t>
            </w:r>
            <w:proofErr w:type="gramStart"/>
            <w:r w:rsidRPr="00826ED3">
              <w:rPr>
                <w:rFonts w:ascii="微軟正黑體" w:eastAsia="微軟正黑體" w:hAnsi="微軟正黑體" w:hint="eastAsia"/>
                <w:b/>
              </w:rPr>
              <w:t>–</w:t>
            </w:r>
            <w:proofErr w:type="gramEnd"/>
            <w:r w:rsidRPr="00826ED3">
              <w:rPr>
                <w:rFonts w:ascii="微軟正黑體" w:eastAsia="微軟正黑體" w:hAnsi="微軟正黑體" w:hint="eastAsia"/>
                <w:b/>
              </w:rPr>
              <w:t xml:space="preserve"> 浮現團體動力中的真正議題</w:t>
            </w:r>
          </w:p>
        </w:tc>
        <w:tc>
          <w:tcPr>
            <w:tcW w:w="144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46C22"/>
            <w:noWrap/>
            <w:vAlign w:val="center"/>
          </w:tcPr>
          <w:p w:rsidR="00CE6033" w:rsidRPr="00826ED3" w:rsidRDefault="00826ED3" w:rsidP="00826ED3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color w:val="FFFFFF" w:themeColor="background1"/>
              </w:rPr>
            </w:pPr>
            <w:r w:rsidRPr="00903F9C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</w:rPr>
              <w:t>P301</w:t>
            </w:r>
          </w:p>
        </w:tc>
        <w:tc>
          <w:tcPr>
            <w:tcW w:w="40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633F1C" w:rsidP="00633F1C">
            <w:pPr>
              <w:widowControl/>
              <w:spacing w:line="300" w:lineRule="exact"/>
              <w:rPr>
                <w:rFonts w:ascii="微軟正黑體" w:eastAsia="微軟正黑體" w:hAnsi="微軟正黑體" w:cs="Arial"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</w:rPr>
              <w:t>轉化型團隊工作中「</w:t>
            </w:r>
            <w:proofErr w:type="gramStart"/>
            <w:r w:rsidRPr="00826ED3">
              <w:rPr>
                <w:rFonts w:ascii="微軟正黑體" w:eastAsia="微軟正黑體" w:hAnsi="微軟正黑體" w:hint="eastAsia"/>
                <w:b/>
              </w:rPr>
              <w:t>自然流現</w:t>
            </w:r>
            <w:proofErr w:type="gramEnd"/>
            <w:r w:rsidRPr="00826ED3">
              <w:rPr>
                <w:rFonts w:ascii="微軟正黑體" w:eastAsia="微軟正黑體" w:hAnsi="微軟正黑體" w:hint="eastAsia"/>
                <w:b/>
              </w:rPr>
              <w:t>」的藝術與科學</w:t>
            </w:r>
          </w:p>
        </w:tc>
      </w:tr>
      <w:tr w:rsidR="00CE6033" w:rsidRPr="00575148" w:rsidTr="00826ED3">
        <w:trPr>
          <w:trHeight w:val="962"/>
        </w:trPr>
        <w:tc>
          <w:tcPr>
            <w:tcW w:w="4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both"/>
              <w:rPr>
                <w:rFonts w:ascii="微軟正黑體" w:eastAsia="微軟正黑體" w:hAnsi="微軟正黑體" w:cs="新細明體"/>
                <w:b/>
                <w:color w:val="000000"/>
                <w:kern w:val="0"/>
              </w:rPr>
            </w:pPr>
          </w:p>
        </w:tc>
        <w:tc>
          <w:tcPr>
            <w:tcW w:w="1559" w:type="dxa"/>
            <w:tcBorders>
              <w:top w:val="single" w:sz="6" w:space="0" w:color="333333"/>
              <w:left w:val="single" w:sz="4" w:space="0" w:color="auto"/>
              <w:bottom w:val="single" w:sz="6" w:space="0" w:color="333333"/>
              <w:right w:val="single" w:sz="6" w:space="0" w:color="333333"/>
            </w:tcBorders>
            <w:shd w:val="clear" w:color="auto" w:fill="F46C22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FFFFFF" w:themeColor="background1"/>
                <w:kern w:val="0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</w:rPr>
              <w:t>P202</w:t>
            </w:r>
          </w:p>
        </w:tc>
        <w:tc>
          <w:tcPr>
            <w:tcW w:w="39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Pr="00826ED3" w:rsidRDefault="00633F1C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</w:rPr>
              <w:t>應用即興劇：建立團隊合作與彈性</w:t>
            </w:r>
          </w:p>
        </w:tc>
        <w:tc>
          <w:tcPr>
            <w:tcW w:w="144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46C22"/>
            <w:noWrap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FFFFFF" w:themeColor="background1"/>
                <w:kern w:val="0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</w:rPr>
              <w:t>P302</w:t>
            </w:r>
          </w:p>
        </w:tc>
        <w:tc>
          <w:tcPr>
            <w:tcW w:w="40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F12350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</w:rPr>
              <w:t>創新引導：激勵團隊創意</w:t>
            </w:r>
          </w:p>
        </w:tc>
      </w:tr>
      <w:tr w:rsidR="00CE6033" w:rsidRPr="00575148" w:rsidTr="00826ED3">
        <w:trPr>
          <w:trHeight w:val="962"/>
        </w:trPr>
        <w:tc>
          <w:tcPr>
            <w:tcW w:w="4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both"/>
              <w:rPr>
                <w:rFonts w:ascii="微軟正黑體" w:eastAsia="微軟正黑體" w:hAnsi="微軟正黑體" w:cs="新細明體"/>
                <w:b/>
                <w:color w:val="000000"/>
                <w:kern w:val="0"/>
              </w:rPr>
            </w:pPr>
          </w:p>
        </w:tc>
        <w:tc>
          <w:tcPr>
            <w:tcW w:w="1559" w:type="dxa"/>
            <w:tcBorders>
              <w:top w:val="single" w:sz="6" w:space="0" w:color="333333"/>
              <w:left w:val="single" w:sz="4" w:space="0" w:color="auto"/>
              <w:bottom w:val="single" w:sz="6" w:space="0" w:color="333333"/>
              <w:right w:val="single" w:sz="6" w:space="0" w:color="333333"/>
            </w:tcBorders>
            <w:shd w:val="clear" w:color="auto" w:fill="F46C22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Arial"/>
                <w:color w:val="FFFFFF" w:themeColor="background1"/>
                <w:kern w:val="0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</w:rPr>
              <w:t>P203</w:t>
            </w:r>
          </w:p>
        </w:tc>
        <w:tc>
          <w:tcPr>
            <w:tcW w:w="39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Pr="00826ED3" w:rsidRDefault="00F12350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</w:rPr>
              <w:t>連結點和片面：引導的整體性架構</w:t>
            </w:r>
          </w:p>
        </w:tc>
        <w:tc>
          <w:tcPr>
            <w:tcW w:w="144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46C22"/>
            <w:noWrap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FFFFFF" w:themeColor="background1"/>
                <w:kern w:val="0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</w:rPr>
              <w:t>P303</w:t>
            </w:r>
          </w:p>
        </w:tc>
        <w:tc>
          <w:tcPr>
            <w:tcW w:w="40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F12350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</w:rPr>
              <w:t>「新規範」的適應性領導力</w:t>
            </w:r>
          </w:p>
        </w:tc>
      </w:tr>
      <w:tr w:rsidR="00CE6033" w:rsidRPr="00575148" w:rsidTr="00826ED3">
        <w:trPr>
          <w:trHeight w:val="962"/>
        </w:trPr>
        <w:tc>
          <w:tcPr>
            <w:tcW w:w="4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both"/>
              <w:rPr>
                <w:rFonts w:ascii="微軟正黑體" w:eastAsia="微軟正黑體" w:hAnsi="微軟正黑體" w:cs="新細明體"/>
                <w:b/>
                <w:color w:val="000000"/>
                <w:kern w:val="0"/>
              </w:rPr>
            </w:pPr>
          </w:p>
        </w:tc>
        <w:tc>
          <w:tcPr>
            <w:tcW w:w="1559" w:type="dxa"/>
            <w:tcBorders>
              <w:top w:val="single" w:sz="6" w:space="0" w:color="333333"/>
              <w:left w:val="single" w:sz="4" w:space="0" w:color="auto"/>
              <w:bottom w:val="single" w:sz="6" w:space="0" w:color="333333"/>
              <w:right w:val="single" w:sz="6" w:space="0" w:color="333333"/>
            </w:tcBorders>
            <w:shd w:val="clear" w:color="auto" w:fill="F46C22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Arial"/>
                <w:color w:val="FFFFFF" w:themeColor="background1"/>
                <w:kern w:val="0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</w:rPr>
              <w:t>P204</w:t>
            </w:r>
          </w:p>
        </w:tc>
        <w:tc>
          <w:tcPr>
            <w:tcW w:w="39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CE6033" w:rsidRPr="00826ED3" w:rsidRDefault="00F12350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</w:rPr>
              <w:t xml:space="preserve">SPACE </w:t>
            </w:r>
            <w:proofErr w:type="gramStart"/>
            <w:r w:rsidRPr="00826ED3">
              <w:rPr>
                <w:rFonts w:ascii="微軟正黑體" w:eastAsia="微軟正黑體" w:hAnsi="微軟正黑體" w:hint="eastAsia"/>
                <w:b/>
              </w:rPr>
              <w:t>–</w:t>
            </w:r>
            <w:proofErr w:type="gramEnd"/>
            <w:r w:rsidRPr="00826ED3">
              <w:rPr>
                <w:rFonts w:ascii="微軟正黑體" w:eastAsia="微軟正黑體" w:hAnsi="微軟正黑體" w:hint="eastAsia"/>
                <w:b/>
              </w:rPr>
              <w:t xml:space="preserve"> 對話式組織發展的流程設計架構</w:t>
            </w:r>
          </w:p>
        </w:tc>
        <w:tc>
          <w:tcPr>
            <w:tcW w:w="144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46C22"/>
            <w:noWrap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FFFFFF" w:themeColor="background1"/>
                <w:kern w:val="0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</w:rPr>
              <w:t>P304</w:t>
            </w:r>
          </w:p>
        </w:tc>
        <w:tc>
          <w:tcPr>
            <w:tcW w:w="40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F12350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</w:rPr>
              <w:t>引導組織中的信任度 - 如何建立、摧毀及修復</w:t>
            </w:r>
          </w:p>
        </w:tc>
      </w:tr>
      <w:tr w:rsidR="00CE6033" w:rsidRPr="00575148" w:rsidTr="00826ED3">
        <w:trPr>
          <w:trHeight w:val="962"/>
        </w:trPr>
        <w:tc>
          <w:tcPr>
            <w:tcW w:w="4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both"/>
              <w:rPr>
                <w:rFonts w:ascii="微軟正黑體" w:eastAsia="微軟正黑體" w:hAnsi="微軟正黑體" w:cs="新細明體"/>
                <w:b/>
                <w:color w:val="000000"/>
                <w:kern w:val="0"/>
              </w:rPr>
            </w:pPr>
          </w:p>
        </w:tc>
        <w:tc>
          <w:tcPr>
            <w:tcW w:w="1559" w:type="dxa"/>
            <w:tcBorders>
              <w:top w:val="single" w:sz="6" w:space="0" w:color="333333"/>
              <w:left w:val="single" w:sz="4" w:space="0" w:color="auto"/>
              <w:bottom w:val="single" w:sz="6" w:space="0" w:color="333333"/>
              <w:right w:val="single" w:sz="6" w:space="0" w:color="333333"/>
            </w:tcBorders>
            <w:shd w:val="clear" w:color="auto" w:fill="F46C22"/>
            <w:vAlign w:val="center"/>
          </w:tcPr>
          <w:p w:rsidR="00CE6033" w:rsidRPr="00826ED3" w:rsidRDefault="00C053BA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Arial"/>
                <w:b/>
                <w:color w:val="FFFFFF" w:themeColor="background1"/>
                <w:kern w:val="0"/>
              </w:rPr>
            </w:pPr>
            <w:r w:rsidRPr="00826ED3">
              <w:rPr>
                <w:rFonts w:ascii="微軟正黑體" w:eastAsia="微軟正黑體" w:hAnsi="微軟正黑體" w:cs="Arial"/>
                <w:b/>
                <w:color w:val="FFFFFF" w:themeColor="background1"/>
                <w:kern w:val="0"/>
              </w:rPr>
              <w:t>P205</w:t>
            </w:r>
          </w:p>
        </w:tc>
        <w:tc>
          <w:tcPr>
            <w:tcW w:w="398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0E36AA" w:rsidRPr="00826ED3" w:rsidRDefault="000E36AA" w:rsidP="000E36AA">
            <w:pPr>
              <w:overflowPunct w:val="0"/>
              <w:topLinePunct/>
              <w:rPr>
                <w:rFonts w:ascii="微軟正黑體" w:eastAsia="微軟正黑體" w:hAnsi="微軟正黑體"/>
                <w:b/>
              </w:rPr>
            </w:pPr>
            <w:bookmarkStart w:id="0" w:name="_GoBack"/>
            <w:r w:rsidRPr="00826ED3">
              <w:rPr>
                <w:rFonts w:ascii="微軟正黑體" w:eastAsia="微軟正黑體" w:hAnsi="微軟正黑體" w:hint="eastAsia"/>
                <w:b/>
              </w:rPr>
              <w:t>你真的覺得自己不會畫圖嗎？</w:t>
            </w:r>
          </w:p>
          <w:p w:rsidR="00CE6033" w:rsidRPr="00826ED3" w:rsidRDefault="000E36AA" w:rsidP="000E36AA">
            <w:pPr>
              <w:overflowPunct w:val="0"/>
              <w:topLinePunct/>
              <w:rPr>
                <w:rFonts w:ascii="微軟正黑體" w:eastAsia="微軟正黑體" w:hAnsi="微軟正黑體" w:cs="Arial"/>
                <w:color w:val="FF0000"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一場證明你可以用圖像引導的工作坊</w:t>
            </w:r>
            <w:bookmarkEnd w:id="0"/>
          </w:p>
        </w:tc>
        <w:tc>
          <w:tcPr>
            <w:tcW w:w="144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46C22"/>
            <w:noWrap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FFFFFF" w:themeColor="background1"/>
                <w:kern w:val="0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</w:rPr>
              <w:t>P305</w:t>
            </w:r>
          </w:p>
        </w:tc>
        <w:tc>
          <w:tcPr>
            <w:tcW w:w="40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F12350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</w:rPr>
              <w:t>「轉捩點」以及其他--藉著遊戲與刺激改善引導技術</w:t>
            </w:r>
          </w:p>
        </w:tc>
      </w:tr>
      <w:tr w:rsidR="00CE6033" w:rsidRPr="0087081F" w:rsidTr="00826ED3">
        <w:trPr>
          <w:trHeight w:val="962"/>
        </w:trPr>
        <w:tc>
          <w:tcPr>
            <w:tcW w:w="4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both"/>
              <w:rPr>
                <w:rFonts w:ascii="微軟正黑體" w:eastAsia="微軟正黑體" w:hAnsi="微軟正黑體" w:cs="新細明體"/>
                <w:b/>
                <w:color w:val="000000"/>
                <w:kern w:val="0"/>
              </w:rPr>
            </w:pPr>
          </w:p>
        </w:tc>
        <w:tc>
          <w:tcPr>
            <w:tcW w:w="1559" w:type="dxa"/>
            <w:tcBorders>
              <w:top w:val="single" w:sz="6" w:space="0" w:color="333333"/>
              <w:left w:val="single" w:sz="4" w:space="0" w:color="auto"/>
              <w:bottom w:val="single" w:sz="4" w:space="0" w:color="auto"/>
              <w:right w:val="single" w:sz="6" w:space="0" w:color="333333"/>
            </w:tcBorders>
            <w:shd w:val="clear" w:color="auto" w:fill="auto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3981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shd w:val="clear" w:color="auto" w:fill="auto"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color w:val="000000"/>
                <w:kern w:val="0"/>
              </w:rPr>
            </w:pPr>
          </w:p>
        </w:tc>
        <w:tc>
          <w:tcPr>
            <w:tcW w:w="1440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shd w:val="clear" w:color="auto" w:fill="F46C22"/>
            <w:noWrap/>
            <w:vAlign w:val="center"/>
          </w:tcPr>
          <w:p w:rsidR="00CE6033" w:rsidRPr="00826ED3" w:rsidRDefault="00CE6033" w:rsidP="00F12350">
            <w:pPr>
              <w:widowControl/>
              <w:spacing w:line="300" w:lineRule="exact"/>
              <w:jc w:val="center"/>
              <w:rPr>
                <w:rFonts w:ascii="微軟正黑體" w:eastAsia="微軟正黑體" w:hAnsi="微軟正黑體" w:cs="新細明體"/>
                <w:b/>
                <w:color w:val="FFFFFF" w:themeColor="background1"/>
                <w:kern w:val="0"/>
              </w:rPr>
            </w:pPr>
            <w:r w:rsidRPr="00826ED3">
              <w:rPr>
                <w:rFonts w:ascii="微軟正黑體" w:eastAsia="微軟正黑體" w:hAnsi="微軟正黑體" w:cs="新細明體" w:hint="eastAsia"/>
                <w:b/>
                <w:color w:val="FFFFFF" w:themeColor="background1"/>
                <w:kern w:val="0"/>
              </w:rPr>
              <w:t>P306</w:t>
            </w:r>
          </w:p>
        </w:tc>
        <w:tc>
          <w:tcPr>
            <w:tcW w:w="4033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33" w:rsidRPr="00826ED3" w:rsidRDefault="00F12350" w:rsidP="00F12350">
            <w:pPr>
              <w:widowControl/>
              <w:spacing w:line="300" w:lineRule="exact"/>
              <w:rPr>
                <w:rFonts w:ascii="微軟正黑體" w:eastAsia="微軟正黑體" w:hAnsi="微軟正黑體" w:cs="Arial"/>
                <w:b/>
                <w:bCs/>
                <w:kern w:val="0"/>
              </w:rPr>
            </w:pPr>
            <w:r w:rsidRPr="00826ED3">
              <w:rPr>
                <w:rFonts w:ascii="微軟正黑體" w:eastAsia="微軟正黑體" w:hAnsi="微軟正黑體" w:hint="eastAsia"/>
                <w:b/>
              </w:rPr>
              <w:t>轉化式引導：在連結與合作中迎接衝突</w:t>
            </w:r>
          </w:p>
        </w:tc>
      </w:tr>
    </w:tbl>
    <w:p w:rsidR="00A85BED" w:rsidRDefault="00A85BED"/>
    <w:sectPr w:rsidR="00A85BED" w:rsidSect="00F12350">
      <w:pgSz w:w="16840" w:h="11900" w:orient="landscape"/>
      <w:pgMar w:top="454" w:right="680" w:bottom="454" w:left="68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2F7" w:rsidRDefault="00D602F7" w:rsidP="0087081F">
      <w:r>
        <w:separator/>
      </w:r>
    </w:p>
  </w:endnote>
  <w:endnote w:type="continuationSeparator" w:id="0">
    <w:p w:rsidR="00D602F7" w:rsidRDefault="00D602F7" w:rsidP="00870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2F7" w:rsidRDefault="00D602F7" w:rsidP="0087081F">
      <w:r>
        <w:separator/>
      </w:r>
    </w:p>
  </w:footnote>
  <w:footnote w:type="continuationSeparator" w:id="0">
    <w:p w:rsidR="00D602F7" w:rsidRDefault="00D602F7" w:rsidP="008708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6033"/>
    <w:rsid w:val="000E36AA"/>
    <w:rsid w:val="0025502B"/>
    <w:rsid w:val="00286C4F"/>
    <w:rsid w:val="002B0BA3"/>
    <w:rsid w:val="00633F1C"/>
    <w:rsid w:val="00746790"/>
    <w:rsid w:val="00826ED3"/>
    <w:rsid w:val="0087081F"/>
    <w:rsid w:val="008A4721"/>
    <w:rsid w:val="00913B83"/>
    <w:rsid w:val="00A85BED"/>
    <w:rsid w:val="00C053BA"/>
    <w:rsid w:val="00CE6033"/>
    <w:rsid w:val="00D029D6"/>
    <w:rsid w:val="00D602F7"/>
    <w:rsid w:val="00F12350"/>
    <w:rsid w:val="00F36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33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8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7081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708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7081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</dc:creator>
  <cp:lastModifiedBy>Neophilia</cp:lastModifiedBy>
  <cp:revision>2</cp:revision>
  <cp:lastPrinted>2016-06-10T01:48:00Z</cp:lastPrinted>
  <dcterms:created xsi:type="dcterms:W3CDTF">2016-06-10T10:06:00Z</dcterms:created>
  <dcterms:modified xsi:type="dcterms:W3CDTF">2016-06-10T10:06:00Z</dcterms:modified>
</cp:coreProperties>
</file>